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D0" w:rsidRDefault="00E102D0" w:rsidP="00E102D0">
      <w:r>
        <w:t>УДК 539.3</w:t>
      </w:r>
    </w:p>
    <w:p w:rsidR="00E102D0" w:rsidRPr="00BB321B" w:rsidRDefault="00E102D0" w:rsidP="00E102D0">
      <w:pPr>
        <w:pStyle w:val="BodyTextIndent2"/>
        <w:jc w:val="center"/>
        <w:rPr>
          <w:b/>
          <w:bCs/>
          <w:sz w:val="24"/>
        </w:rPr>
      </w:pPr>
      <w:r w:rsidRPr="00BB321B">
        <w:rPr>
          <w:b/>
          <w:bCs/>
          <w:sz w:val="24"/>
        </w:rPr>
        <w:t>Характер напружень для неідеального контакту на поверхні сфероїдального включення при дії повздовжнього розтягу та чистого згину</w:t>
      </w:r>
    </w:p>
    <w:p w:rsidR="00E102D0" w:rsidRPr="00BB321B" w:rsidRDefault="00E102D0" w:rsidP="00E102D0">
      <w:pPr>
        <w:pStyle w:val="Heading1"/>
        <w:ind w:right="-11" w:firstLine="181"/>
        <w:jc w:val="center"/>
        <w:rPr>
          <w:b w:val="0"/>
          <w:i/>
          <w:sz w:val="24"/>
          <w:lang w:val="en-US"/>
        </w:rPr>
      </w:pPr>
      <w:r w:rsidRPr="00BB321B">
        <w:rPr>
          <w:sz w:val="24"/>
        </w:rPr>
        <w:t>Т. Бубняк, к. ф.-м. н.</w:t>
      </w:r>
      <w:r w:rsidRPr="00BB321B">
        <w:rPr>
          <w:b w:val="0"/>
          <w:i/>
          <w:sz w:val="24"/>
        </w:rPr>
        <w:t xml:space="preserve"> </w:t>
      </w:r>
      <w:r w:rsidRPr="00BB321B">
        <w:rPr>
          <w:b w:val="0"/>
          <w:i/>
          <w:sz w:val="24"/>
          <w:lang w:val="en-US"/>
        </w:rPr>
        <w:t xml:space="preserve"> </w:t>
      </w:r>
    </w:p>
    <w:p w:rsidR="00E102D0" w:rsidRPr="00BB321B" w:rsidRDefault="00E102D0" w:rsidP="00E102D0">
      <w:pPr>
        <w:ind w:left="567"/>
        <w:jc w:val="center"/>
        <w:rPr>
          <w:i/>
          <w:lang w:val="ru-RU"/>
        </w:rPr>
      </w:pPr>
      <w:r w:rsidRPr="00BB321B">
        <w:rPr>
          <w:lang w:val="en-US"/>
        </w:rPr>
        <w:t>ORCID 0000 – 0002 – 2814 – 8571</w:t>
      </w:r>
    </w:p>
    <w:p w:rsidR="00E102D0" w:rsidRPr="00BB321B" w:rsidRDefault="00E102D0" w:rsidP="00E102D0">
      <w:pPr>
        <w:spacing w:line="360" w:lineRule="auto"/>
        <w:ind w:left="567"/>
        <w:jc w:val="center"/>
        <w:rPr>
          <w:i/>
        </w:rPr>
      </w:pPr>
      <w:r w:rsidRPr="00BB321B">
        <w:rPr>
          <w:i/>
        </w:rPr>
        <w:t>Львівський національний аграрний університет</w:t>
      </w:r>
    </w:p>
    <w:p w:rsidR="00E102D0" w:rsidRPr="00BB321B" w:rsidRDefault="00E102D0" w:rsidP="00BB321B">
      <w:pPr>
        <w:ind w:firstLine="709"/>
        <w:jc w:val="both"/>
        <w:rPr>
          <w:lang w:val="en-US"/>
        </w:rPr>
      </w:pPr>
      <w:r w:rsidRPr="00BB321B">
        <w:rPr>
          <w:b/>
        </w:rPr>
        <w:t xml:space="preserve">Постановка проблеми. </w:t>
      </w:r>
      <w:r w:rsidRPr="00BB321B">
        <w:t>Вирішення задач капітального</w:t>
      </w:r>
      <w:r w:rsidRPr="00BB321B">
        <w:rPr>
          <w:b/>
        </w:rPr>
        <w:t xml:space="preserve"> </w:t>
      </w:r>
      <w:r w:rsidRPr="00BB321B">
        <w:t>будівництва інженерних споруд пов</w:t>
      </w:r>
      <w:r w:rsidRPr="00BB321B">
        <w:rPr>
          <w:lang w:val="ru-RU"/>
        </w:rPr>
        <w:t>’</w:t>
      </w:r>
      <w:r w:rsidRPr="00BB321B">
        <w:t xml:space="preserve">язане в першу чергу із раціональним використанням виділених коштів. </w:t>
      </w:r>
      <w:proofErr w:type="gramStart"/>
      <w:r w:rsidRPr="00BB321B">
        <w:rPr>
          <w:lang w:val="en-US"/>
        </w:rPr>
        <w:t xml:space="preserve">У </w:t>
      </w:r>
      <w:r w:rsidRPr="00BB321B">
        <w:t>пошуках шляхів</w:t>
      </w:r>
      <w:r w:rsidRPr="00BB321B">
        <w:rPr>
          <w:lang w:val="en-US"/>
        </w:rPr>
        <w:t xml:space="preserve"> </w:t>
      </w:r>
      <w:r w:rsidRPr="00BB321B">
        <w:t>підвищення якості будівництва важливу роль відіграє дослідження довговічності будівельних матеріалів і конструкцій, які зазнають комплексного впливу умов експлуатації.</w:t>
      </w:r>
      <w:proofErr w:type="gramEnd"/>
      <w:r w:rsidRPr="00BB321B">
        <w:t xml:space="preserve"> Залізобетонні конструкції, облицювальні та гідроізоляційні матеріали, лаки, фарби та ін. змінюються під дією зовнішніх факторів: опадів, змін температури, сонячних променів, що веде до зміни міцнісних характеристик конструкцій.</w:t>
      </w:r>
    </w:p>
    <w:p w:rsidR="00E102D0" w:rsidRPr="00BB321B" w:rsidRDefault="00E102D0" w:rsidP="00BB321B">
      <w:pPr>
        <w:ind w:firstLine="709"/>
        <w:jc w:val="both"/>
      </w:pPr>
      <w:r w:rsidRPr="00BB321B">
        <w:t xml:space="preserve">Важливою є проблема отримання достовірної інформації про розподіл напружень в матеріалах чи елементах конструкцій з врахуванням реальної картини міжфазної взаємодії, що пов’язано з використанням ефективних методів розв’язку просторових задач теорії пружності [1]. </w:t>
      </w:r>
    </w:p>
    <w:p w:rsidR="00E102D0" w:rsidRPr="00BB321B" w:rsidRDefault="00E102D0" w:rsidP="00BB321B">
      <w:pPr>
        <w:ind w:firstLine="720"/>
        <w:jc w:val="both"/>
      </w:pPr>
      <w:r w:rsidRPr="00BB321B">
        <w:rPr>
          <w:b/>
        </w:rPr>
        <w:t>Аналіз останніх досліджень і публікацій</w:t>
      </w:r>
      <w:r w:rsidRPr="00BB321B">
        <w:t>. Дослідження просторових задач теорії пружності для однорідних ізотропних та анізотропних тіл у загальній постановці пов’язане з математичними труднощами із-за складності побудови розв’язку системи диференціальних рівнянь у частинних похідних, який задовольняє граничні умови.</w:t>
      </w:r>
    </w:p>
    <w:p w:rsidR="00E102D0" w:rsidRPr="00BB321B" w:rsidRDefault="00E102D0" w:rsidP="00BB321B">
      <w:pPr>
        <w:ind w:firstLine="720"/>
        <w:jc w:val="both"/>
      </w:pPr>
      <w:r w:rsidRPr="00BB321B">
        <w:t>Метод Фур'є є одним із ефективних методів розв’язку задач теорії пружності. Він базується на представленні загальних розв’язків рівнянь рівноваги через потенціальні функції. Застосування методу Фур’є є використання різних представлень розв’язку рівнянь Ламе через гармонічні функції, що дозволяє шукати розв’язок у вигляді рядів</w:t>
      </w:r>
      <w:r w:rsidRPr="00BB321B">
        <w:rPr>
          <w:lang w:val="en-US"/>
        </w:rPr>
        <w:t xml:space="preserve"> [2]</w:t>
      </w:r>
      <w:r w:rsidRPr="00BB321B">
        <w:t>.</w:t>
      </w:r>
    </w:p>
    <w:p w:rsidR="00E102D0" w:rsidRPr="00BB321B" w:rsidRDefault="00E102D0" w:rsidP="00BB321B">
      <w:pPr>
        <w:ind w:firstLine="720"/>
        <w:jc w:val="both"/>
      </w:pPr>
      <w:r w:rsidRPr="00BB321B">
        <w:t>Важливі результати в розв’язку задач теорії пружності отримані в роботах Ю.М. Коляно, В.Л. Рвачова, І.О. Мотовиловця, К.В. Солянік-Красса, Я.С. Підстригала, Ю.М. Подільчука та багатьох інших вчених.</w:t>
      </w:r>
    </w:p>
    <w:p w:rsidR="00E102D0" w:rsidRPr="00BB321B" w:rsidRDefault="00E102D0" w:rsidP="00BB321B">
      <w:pPr>
        <w:ind w:firstLine="720"/>
        <w:jc w:val="both"/>
      </w:pPr>
      <w:r w:rsidRPr="00BB321B">
        <w:rPr>
          <w:b/>
        </w:rPr>
        <w:t>Постановка завдання</w:t>
      </w:r>
      <w:r w:rsidRPr="00BB321B">
        <w:t>. У роботі розглядається задача про розподіл напружень необмеженого трансверсально-ізотропного середовища, яке містить анізотропне, відносно механічних і теплових властивостей, включення у формі стиснутого сфероїда при дії вздовж осі OZ</w:t>
      </w:r>
      <w:r w:rsidRPr="00BB321B">
        <w:rPr>
          <w:lang w:val="en-US"/>
        </w:rPr>
        <w:t xml:space="preserve"> </w:t>
      </w:r>
      <w:r w:rsidRPr="00BB321B">
        <w:t>повздовжнього розтягу і чистого згину. На межі розділу фаз пропонуються умови неідеального механічного контакту.</w:t>
      </w:r>
    </w:p>
    <w:p w:rsidR="00E102D0" w:rsidRPr="00BB321B" w:rsidRDefault="00E102D0" w:rsidP="00BB321B">
      <w:pPr>
        <w:ind w:firstLine="720"/>
        <w:jc w:val="both"/>
      </w:pPr>
      <w:r w:rsidRPr="00BB321B">
        <w:rPr>
          <w:b/>
        </w:rPr>
        <w:t>Виклад основного матеріалу</w:t>
      </w:r>
      <w:r w:rsidRPr="00BB321B">
        <w:t>. Розглянемо задачу про розподіл напружень необмеженого трансверсально-ізотропного середовища, яке містить анізотропне, відносно механічних і теплових властивостей, включення у формі стиснутого сфероїда за повздовжнього розтягу. На межі розділу фаз пропонуються умови неідеального механічного і теплового контактів.</w:t>
      </w:r>
    </w:p>
    <w:p w:rsidR="00E102D0" w:rsidRPr="00BB321B" w:rsidRDefault="00E102D0" w:rsidP="00BB321B">
      <w:pPr>
        <w:ind w:firstLine="709"/>
        <w:jc w:val="both"/>
      </w:pPr>
      <w:r w:rsidRPr="00BB321B">
        <w:t>Ефективним методом розв’язку просторових задач теорії пружності є метод Фур’є, який базується на представленні загального розв’язку рівнянь рівноваги через потенціальні функції. Цей метод дозволяє шукати розв’язок у вигляді рядів, наприклад за функціями Лежандра, або інтегралів від гармонічних функцій з невідомими коефіцієнтами чи густинами</w:t>
      </w:r>
      <w:r w:rsidRPr="00BB321B">
        <w:rPr>
          <w:lang w:val="en-US"/>
        </w:rPr>
        <w:t xml:space="preserve"> [3]</w:t>
      </w:r>
      <w:r w:rsidRPr="00BB321B">
        <w:t>.</w:t>
      </w:r>
    </w:p>
    <w:p w:rsidR="00E102D0" w:rsidRPr="00BB321B" w:rsidRDefault="00E102D0" w:rsidP="00BB321B">
      <w:pPr>
        <w:ind w:firstLine="720"/>
        <w:jc w:val="both"/>
        <w:rPr>
          <w:lang w:val="en-US"/>
        </w:rPr>
      </w:pPr>
      <w:r w:rsidRPr="00BB321B">
        <w:t xml:space="preserve">Розв’язок просторової задачі за заданих граничних умов на поверхні включення лінійного силового і температурного полів зводяться до розвинення шуканих </w:t>
      </w:r>
      <w:r w:rsidRPr="00BB321B">
        <w:lastRenderedPageBreak/>
        <w:t xml:space="preserve">потенціальних функцій в тригонометричні ряди за приєднаними функціями Лежандра першого і другого родів </w:t>
      </w:r>
    </w:p>
    <w:p w:rsidR="00E102D0" w:rsidRPr="00BB321B" w:rsidRDefault="00E102D0" w:rsidP="00BB321B">
      <w:pPr>
        <w:jc w:val="right"/>
      </w:pPr>
      <w:r w:rsidRPr="00BB321B">
        <w:t>Ф</w:t>
      </w:r>
      <w:r w:rsidRPr="00BB321B">
        <w:rPr>
          <w:vertAlign w:val="subscript"/>
          <w:lang w:val="en-US"/>
        </w:rPr>
        <w:t>j</w:t>
      </w:r>
      <w:r w:rsidRPr="00BB321B">
        <w:t>(</w:t>
      </w:r>
      <w:r w:rsidRPr="00BB321B">
        <w:rPr>
          <w:i/>
          <w:lang w:val="en-US"/>
        </w:rPr>
        <w:t>x</w:t>
      </w:r>
      <w:r w:rsidRPr="00BB321B">
        <w:t>,</w:t>
      </w:r>
      <w:r w:rsidRPr="00BB321B">
        <w:rPr>
          <w:i/>
          <w:lang w:val="en-US"/>
        </w:rPr>
        <w:t>y</w:t>
      </w:r>
      <w:r w:rsidRPr="00BB321B">
        <w:t>,</w:t>
      </w:r>
      <w:proofErr w:type="spellStart"/>
      <w:r w:rsidRPr="00BB321B">
        <w:rPr>
          <w:i/>
          <w:lang w:val="en-US"/>
        </w:rPr>
        <w:t>z</w:t>
      </w:r>
      <w:r w:rsidRPr="00BB321B">
        <w:rPr>
          <w:vertAlign w:val="subscript"/>
          <w:lang w:val="en-US"/>
        </w:rPr>
        <w:t>j</w:t>
      </w:r>
      <w:proofErr w:type="spellEnd"/>
      <w:r w:rsidRPr="00BB321B">
        <w:t>)=</w:t>
      </w:r>
      <w:r w:rsidRPr="00BB321B">
        <w:rPr>
          <w:position w:val="-32"/>
          <w:lang w:val="en-US"/>
        </w:rPr>
        <w:object w:dxaOrig="5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5.75pt" o:ole="" fillcolor="window">
            <v:imagedata r:id="rId5" o:title=""/>
          </v:shape>
          <o:OLEObject Type="Embed" ProgID="Equation.DSMT4" ShapeID="_x0000_i1025" DrawAspect="Content" ObjectID="_1738778514" r:id="rId6"/>
        </w:object>
      </w:r>
      <w:r w:rsidRPr="00BB321B">
        <w:rPr>
          <w:position w:val="-32"/>
          <w:lang w:val="en-US"/>
        </w:rPr>
        <w:object w:dxaOrig="520" w:dyaOrig="780">
          <v:shape id="_x0000_i1026" type="#_x0000_t75" style="width:30pt;height:45.75pt" o:ole="" fillcolor="window">
            <v:imagedata r:id="rId7" o:title=""/>
          </v:shape>
          <o:OLEObject Type="Embed" ProgID="Equation.DSMT4" ShapeID="_x0000_i1026" DrawAspect="Content" ObjectID="_1738778515" r:id="rId8"/>
        </w:object>
      </w:r>
      <w:r w:rsidRPr="00BB321B">
        <w:rPr>
          <w:position w:val="-32"/>
          <w:lang w:val="en-US"/>
        </w:rPr>
        <w:object w:dxaOrig="1020" w:dyaOrig="760">
          <v:shape id="_x0000_i1027" type="#_x0000_t75" style="width:51pt;height:38.25pt" o:ole="" fillcolor="window">
            <v:imagedata r:id="rId9" o:title=""/>
          </v:shape>
          <o:OLEObject Type="Embed" ProgID="Equation.DSMT4" ShapeID="_x0000_i1027" DrawAspect="Content" ObjectID="_1738778516" r:id="rId10"/>
        </w:object>
      </w:r>
      <w:r w:rsidRPr="00BB321B">
        <w:rPr>
          <w:position w:val="-38"/>
          <w:lang w:val="en-US"/>
        </w:rPr>
        <w:object w:dxaOrig="2219" w:dyaOrig="900">
          <v:shape id="_x0000_i1028" type="#_x0000_t75" style="width:111pt;height:45pt" o:ole="" fillcolor="window">
            <v:imagedata r:id="rId11" o:title=""/>
          </v:shape>
          <o:OLEObject Type="Embed" ProgID="Equation.DSMT4" ShapeID="_x0000_i1028" DrawAspect="Content" ObjectID="_1738778517" r:id="rId12"/>
        </w:object>
      </w:r>
      <w:r w:rsidRPr="00BB321B">
        <w:rPr>
          <w:position w:val="-10"/>
          <w:lang w:val="en-US"/>
        </w:rPr>
        <w:object w:dxaOrig="180" w:dyaOrig="340">
          <v:shape id="_x0000_i1029" type="#_x0000_t75" style="width:9pt;height:17.25pt" o:ole="" fillcolor="window">
            <v:imagedata r:id="rId13" o:title=""/>
          </v:shape>
          <o:OLEObject Type="Embed" ProgID="Equation.3" ShapeID="_x0000_i1029" DrawAspect="Content" ObjectID="_1738778518" r:id="rId14"/>
        </w:object>
      </w:r>
      <w:r w:rsidRPr="00BB321B">
        <w:rPr>
          <w:position w:val="-10"/>
          <w:lang w:val="en-US"/>
        </w:rPr>
        <w:object w:dxaOrig="180" w:dyaOrig="340">
          <v:shape id="_x0000_i1030" type="#_x0000_t75" style="width:9pt;height:17.25pt" o:ole="" fillcolor="window">
            <v:imagedata r:id="rId13" o:title=""/>
          </v:shape>
          <o:OLEObject Type="Embed" ProgID="Equation.3" ShapeID="_x0000_i1030" DrawAspect="Content" ObjectID="_1738778519" r:id="rId15"/>
        </w:object>
      </w:r>
      <w:r w:rsidRPr="00BB321B">
        <w:t>− −</w:t>
      </w:r>
      <w:r w:rsidRPr="00BB321B">
        <w:rPr>
          <w:position w:val="-38"/>
          <w:lang w:val="en-US"/>
        </w:rPr>
        <w:object w:dxaOrig="2219" w:dyaOrig="900">
          <v:shape id="_x0000_i1031" type="#_x0000_t75" style="width:111pt;height:45pt" o:ole="" fillcolor="window">
            <v:imagedata r:id="rId16" o:title=""/>
          </v:shape>
          <o:OLEObject Type="Embed" ProgID="Equation.DSMT4" ShapeID="_x0000_i1031" DrawAspect="Content" ObjectID="_1738778520" r:id="rId17"/>
        </w:object>
      </w:r>
      <w:r w:rsidRPr="00BB321B">
        <w:rPr>
          <w:position w:val="-18"/>
          <w:lang w:val="en-US"/>
        </w:rPr>
        <w:object w:dxaOrig="3040" w:dyaOrig="500">
          <v:shape id="_x0000_i1032" type="#_x0000_t75" style="width:152.25pt;height:24.75pt" o:ole="" fillcolor="window">
            <v:imagedata r:id="rId18" o:title=""/>
          </v:shape>
          <o:OLEObject Type="Embed" ProgID="Equation.DSMT4" ShapeID="_x0000_i1032" DrawAspect="Content" ObjectID="_1738778521" r:id="rId19"/>
        </w:object>
      </w:r>
      <w:r w:rsidRPr="00BB321B">
        <w:t>, (</w:t>
      </w:r>
      <w:r w:rsidRPr="00BB321B">
        <w:rPr>
          <w:lang w:val="en-US"/>
        </w:rPr>
        <w:t>j</w:t>
      </w:r>
      <w:r w:rsidRPr="00BB321B">
        <w:t>=1,2,3),</w:t>
      </w:r>
      <w:r w:rsidRPr="00BB321B">
        <w:tab/>
      </w:r>
      <w:r w:rsidRPr="00BB321B">
        <w:rPr>
          <w:lang w:val="en-US"/>
        </w:rPr>
        <w:tab/>
      </w:r>
      <w:r w:rsidRPr="00BB321B">
        <w:t>(1)</w:t>
      </w:r>
    </w:p>
    <w:p w:rsidR="00E102D0" w:rsidRPr="00BB321B" w:rsidRDefault="00E102D0" w:rsidP="00BB321B">
      <w:pPr>
        <w:jc w:val="both"/>
      </w:pPr>
      <w:r w:rsidRPr="00BB321B">
        <w:t xml:space="preserve">де </w:t>
      </w:r>
      <w:r w:rsidRPr="00BB321B">
        <w:rPr>
          <w:position w:val="-12"/>
        </w:rPr>
        <w:object w:dxaOrig="919" w:dyaOrig="420">
          <v:shape id="_x0000_i1033" type="#_x0000_t75" style="width:45.75pt;height:21pt" o:ole="" fillcolor="window">
            <v:imagedata r:id="rId20" o:title=""/>
          </v:shape>
          <o:OLEObject Type="Embed" ProgID="Equation.DSMT4" ShapeID="_x0000_i1033" DrawAspect="Content" ObjectID="_1738778522" r:id="rId21"/>
        </w:object>
      </w:r>
      <w:r w:rsidRPr="00BB321B">
        <w:t xml:space="preserve"> − невідомі сталі, які знаходяться із граничних умов.</w:t>
      </w:r>
    </w:p>
    <w:p w:rsidR="00E102D0" w:rsidRPr="00BB321B" w:rsidRDefault="00E102D0" w:rsidP="00BB321B">
      <w:pPr>
        <w:ind w:firstLine="720"/>
        <w:jc w:val="both"/>
        <w:rPr>
          <w:lang w:val="en-US"/>
        </w:rPr>
      </w:pPr>
      <w:r w:rsidRPr="00BB321B">
        <w:t>Для знаходження загального розв’язку рівнянь рівноваги у випадку дійсних різних коренів характеристичного рівняння, складеного за коефіцієнтами системи рівнянь рівноваги, використовується представлення через потенціальні функції</w:t>
      </w:r>
      <w:r w:rsidRPr="00BB321B">
        <w:rPr>
          <w:lang w:val="en-US"/>
        </w:rPr>
        <w:t xml:space="preserve"> [4,5]</w:t>
      </w:r>
    </w:p>
    <w:p w:rsidR="00E102D0" w:rsidRPr="00BB321B" w:rsidRDefault="00E102D0" w:rsidP="00BB321B">
      <w:pPr>
        <w:ind w:firstLine="720"/>
        <w:jc w:val="right"/>
      </w:pPr>
      <w:r w:rsidRPr="00BB321B">
        <w:rPr>
          <w:position w:val="-108"/>
        </w:rPr>
        <w:object w:dxaOrig="2620" w:dyaOrig="2320">
          <v:shape id="_x0000_i1034" type="#_x0000_t75" style="width:131.25pt;height:116.25pt" o:ole="">
            <v:imagedata r:id="rId22" o:title=""/>
          </v:shape>
          <o:OLEObject Type="Embed" ProgID="Equation.DSMT4" ShapeID="_x0000_i1034" DrawAspect="Content" ObjectID="_1738778523" r:id="rId23"/>
        </w:object>
      </w:r>
      <w:r w:rsidRPr="00BB321B">
        <w:tab/>
      </w:r>
      <w:r w:rsidRPr="00BB321B">
        <w:tab/>
      </w:r>
      <w:r w:rsidRPr="00BB321B">
        <w:tab/>
      </w:r>
      <w:r w:rsidRPr="00BB321B">
        <w:tab/>
        <w:t>(2)</w:t>
      </w:r>
    </w:p>
    <w:p w:rsidR="00E102D0" w:rsidRPr="00BB321B" w:rsidRDefault="00E102D0" w:rsidP="00BB321B">
      <w:pPr>
        <w:ind w:firstLine="700"/>
        <w:jc w:val="both"/>
      </w:pPr>
      <w:r w:rsidRPr="00BB321B">
        <w:t xml:space="preserve">У (2) коефіцієнти </w:t>
      </w:r>
      <w:r w:rsidRPr="00BB321B">
        <w:rPr>
          <w:i/>
          <w:lang w:val="en-US"/>
        </w:rPr>
        <w:t>k</w:t>
      </w:r>
      <w:r w:rsidRPr="00BB321B">
        <w:rPr>
          <w:vertAlign w:val="subscript"/>
        </w:rPr>
        <w:t>1</w:t>
      </w:r>
      <w:r w:rsidRPr="00BB321B">
        <w:t xml:space="preserve">, </w:t>
      </w:r>
      <w:r w:rsidRPr="00BB321B">
        <w:rPr>
          <w:i/>
          <w:lang w:val="en-US"/>
        </w:rPr>
        <w:t>k</w:t>
      </w:r>
      <w:r w:rsidRPr="00BB321B">
        <w:rPr>
          <w:vertAlign w:val="subscript"/>
        </w:rPr>
        <w:t>2</w:t>
      </w:r>
      <w:r w:rsidRPr="00BB321B">
        <w:t xml:space="preserve"> виражаються через коефіцієнти рівнянь рівноваги та корені характеристичного рівняння.</w:t>
      </w:r>
    </w:p>
    <w:p w:rsidR="00E102D0" w:rsidRPr="00BB321B" w:rsidRDefault="00E102D0" w:rsidP="00BB321B">
      <w:pPr>
        <w:ind w:firstLine="720"/>
        <w:jc w:val="both"/>
      </w:pPr>
      <w:r w:rsidRPr="00BB321B">
        <w:t>Задовольняючи граничні умови, отримуємо нескінченну систему лінійних алгебраїчних рівнянь для визначення коефіцієнтів розкладу, яка має збіжний розв’язок [</w:t>
      </w:r>
      <w:r w:rsidRPr="00BB321B">
        <w:rPr>
          <w:lang w:val="en-US"/>
        </w:rPr>
        <w:t>5</w:t>
      </w:r>
      <w:r w:rsidRPr="00BB321B">
        <w:t>].</w:t>
      </w:r>
    </w:p>
    <w:p w:rsidR="00E102D0" w:rsidRPr="00BB321B" w:rsidRDefault="00E102D0" w:rsidP="00BB321B">
      <w:pPr>
        <w:ind w:firstLine="720"/>
        <w:jc w:val="both"/>
      </w:pPr>
      <w:r w:rsidRPr="00BB321B">
        <w:t>Розрахунок термонапруженого стану трансверсально-ізотропного середовища зі сфероїдальним включенням під дією лінійного температурного поля проводився в умовах неідеального контакту для матеріалів із пружними характеристиками:</w:t>
      </w:r>
    </w:p>
    <w:p w:rsidR="00E102D0" w:rsidRPr="00BB321B" w:rsidRDefault="00E102D0" w:rsidP="00BB321B">
      <w:pPr>
        <w:jc w:val="both"/>
      </w:pPr>
      <w:r w:rsidRPr="00BB321B">
        <w:t>включення – (10</w:t>
      </w:r>
      <w:r w:rsidRPr="00BB321B">
        <w:rPr>
          <w:vertAlign w:val="superscript"/>
        </w:rPr>
        <w:t>10</w:t>
      </w:r>
      <w:r w:rsidRPr="00BB321B">
        <w:t>н/м</w:t>
      </w:r>
      <w:r w:rsidRPr="00BB321B">
        <w:rPr>
          <w:vertAlign w:val="superscript"/>
        </w:rPr>
        <w:t>2</w:t>
      </w:r>
      <w:r w:rsidRPr="00BB321B">
        <w:t xml:space="preserve">) </w:t>
      </w:r>
      <w:r w:rsidRPr="00BB321B">
        <w:rPr>
          <w:position w:val="-10"/>
        </w:rPr>
        <w:object w:dxaOrig="1140" w:dyaOrig="420">
          <v:shape id="_x0000_i1035" type="#_x0000_t75" style="width:57pt;height:21pt" o:ole="">
            <v:imagedata r:id="rId24" o:title=""/>
          </v:shape>
          <o:OLEObject Type="Embed" ProgID="Equation.DSMT4" ShapeID="_x0000_i1035" DrawAspect="Content" ObjectID="_1738778524" r:id="rId25"/>
        </w:object>
      </w:r>
      <w:r w:rsidRPr="00BB321B">
        <w:t xml:space="preserve">; </w:t>
      </w:r>
      <w:r w:rsidRPr="00BB321B">
        <w:rPr>
          <w:position w:val="-10"/>
        </w:rPr>
        <w:object w:dxaOrig="1159" w:dyaOrig="420">
          <v:shape id="_x0000_i1036" type="#_x0000_t75" style="width:57.75pt;height:21pt" o:ole="">
            <v:imagedata r:id="rId26" o:title=""/>
          </v:shape>
          <o:OLEObject Type="Embed" ProgID="Equation.DSMT4" ShapeID="_x0000_i1036" DrawAspect="Content" ObjectID="_1738778525" r:id="rId27"/>
        </w:object>
      </w:r>
      <w:r w:rsidRPr="00BB321B">
        <w:t xml:space="preserve">; </w:t>
      </w:r>
      <w:r w:rsidRPr="00BB321B">
        <w:rPr>
          <w:position w:val="-10"/>
        </w:rPr>
        <w:object w:dxaOrig="1140" w:dyaOrig="420">
          <v:shape id="_x0000_i1037" type="#_x0000_t75" style="width:57pt;height:21pt" o:ole="">
            <v:imagedata r:id="rId28" o:title=""/>
          </v:shape>
          <o:OLEObject Type="Embed" ProgID="Equation.DSMT4" ShapeID="_x0000_i1037" DrawAspect="Content" ObjectID="_1738778526" r:id="rId29"/>
        </w:object>
      </w:r>
      <w:r w:rsidRPr="00BB321B">
        <w:t xml:space="preserve">; </w:t>
      </w:r>
      <w:r w:rsidRPr="00BB321B">
        <w:rPr>
          <w:position w:val="-10"/>
        </w:rPr>
        <w:object w:dxaOrig="1140" w:dyaOrig="420">
          <v:shape id="_x0000_i1038" type="#_x0000_t75" style="width:57pt;height:21pt" o:ole="">
            <v:imagedata r:id="rId30" o:title=""/>
          </v:shape>
          <o:OLEObject Type="Embed" ProgID="Equation.DSMT4" ShapeID="_x0000_i1038" DrawAspect="Content" ObjectID="_1738778527" r:id="rId31"/>
        </w:object>
      </w:r>
      <w:r w:rsidRPr="00BB321B">
        <w:t xml:space="preserve">; </w:t>
      </w:r>
      <w:r w:rsidRPr="00BB321B">
        <w:rPr>
          <w:position w:val="-10"/>
        </w:rPr>
        <w:object w:dxaOrig="1120" w:dyaOrig="420">
          <v:shape id="_x0000_i1039" type="#_x0000_t75" style="width:56.25pt;height:21pt" o:ole="">
            <v:imagedata r:id="rId32" o:title=""/>
          </v:shape>
          <o:OLEObject Type="Embed" ProgID="Equation.DSMT4" ShapeID="_x0000_i1039" DrawAspect="Content" ObjectID="_1738778528" r:id="rId33"/>
        </w:object>
      </w:r>
      <w:r w:rsidRPr="00BB321B">
        <w:t xml:space="preserve">; </w:t>
      </w:r>
    </w:p>
    <w:p w:rsidR="00E102D0" w:rsidRPr="00BB321B" w:rsidRDefault="00E102D0" w:rsidP="00BB321B">
      <w:pPr>
        <w:jc w:val="both"/>
      </w:pPr>
      <w:r w:rsidRPr="00BB321B">
        <w:t>середовище − (10</w:t>
      </w:r>
      <w:r w:rsidRPr="00BB321B">
        <w:rPr>
          <w:vertAlign w:val="superscript"/>
        </w:rPr>
        <w:t>10</w:t>
      </w:r>
      <w:r w:rsidRPr="00BB321B">
        <w:t>н/м</w:t>
      </w:r>
      <w:r w:rsidRPr="00BB321B">
        <w:rPr>
          <w:vertAlign w:val="superscript"/>
        </w:rPr>
        <w:t>2</w:t>
      </w:r>
      <w:r w:rsidRPr="00BB321B">
        <w:t xml:space="preserve">) </w:t>
      </w:r>
      <w:r w:rsidRPr="00BB321B">
        <w:rPr>
          <w:position w:val="-12"/>
        </w:rPr>
        <w:object w:dxaOrig="1259" w:dyaOrig="380">
          <v:shape id="_x0000_i1040" type="#_x0000_t75" style="width:63pt;height:18.75pt" o:ole="">
            <v:imagedata r:id="rId34" o:title=""/>
          </v:shape>
          <o:OLEObject Type="Embed" ProgID="Equation.DSMT4" ShapeID="_x0000_i1040" DrawAspect="Content" ObjectID="_1738778529" r:id="rId35"/>
        </w:object>
      </w:r>
      <w:r w:rsidRPr="00BB321B">
        <w:rPr>
          <w:position w:val="-12"/>
        </w:rPr>
        <w:object w:dxaOrig="1240" w:dyaOrig="380">
          <v:shape id="_x0000_i1041" type="#_x0000_t75" style="width:62.25pt;height:18.75pt" o:ole="">
            <v:imagedata r:id="rId36" o:title=""/>
          </v:shape>
          <o:OLEObject Type="Embed" ProgID="Equation.DSMT4" ShapeID="_x0000_i1041" DrawAspect="Content" ObjectID="_1738778530" r:id="rId37"/>
        </w:object>
      </w:r>
      <w:r w:rsidRPr="00BB321B">
        <w:t xml:space="preserve">; </w:t>
      </w:r>
      <w:r w:rsidRPr="00BB321B">
        <w:rPr>
          <w:position w:val="-12"/>
        </w:rPr>
        <w:object w:dxaOrig="1240" w:dyaOrig="380">
          <v:shape id="_x0000_i1042" type="#_x0000_t75" style="width:62.25pt;height:18.75pt" o:ole="">
            <v:imagedata r:id="rId38" o:title=""/>
          </v:shape>
          <o:OLEObject Type="Embed" ProgID="Equation.DSMT4" ShapeID="_x0000_i1042" DrawAspect="Content" ObjectID="_1738778531" r:id="rId39"/>
        </w:object>
      </w:r>
      <w:r w:rsidRPr="00BB321B">
        <w:t xml:space="preserve">; </w:t>
      </w:r>
      <w:r w:rsidRPr="00BB321B">
        <w:rPr>
          <w:position w:val="-12"/>
        </w:rPr>
        <w:object w:dxaOrig="1259" w:dyaOrig="380">
          <v:shape id="_x0000_i1043" type="#_x0000_t75" style="width:63pt;height:18.75pt" o:ole="">
            <v:imagedata r:id="rId40" o:title=""/>
          </v:shape>
          <o:OLEObject Type="Embed" ProgID="Equation.DSMT4" ShapeID="_x0000_i1043" DrawAspect="Content" ObjectID="_1738778532" r:id="rId41"/>
        </w:object>
      </w:r>
      <w:r w:rsidRPr="00BB321B">
        <w:t xml:space="preserve">; </w:t>
      </w:r>
      <w:r w:rsidRPr="00BB321B">
        <w:rPr>
          <w:position w:val="-12"/>
        </w:rPr>
        <w:object w:dxaOrig="1140" w:dyaOrig="380">
          <v:shape id="_x0000_i1044" type="#_x0000_t75" style="width:57pt;height:18.75pt" o:ole="">
            <v:imagedata r:id="rId42" o:title=""/>
          </v:shape>
          <o:OLEObject Type="Embed" ProgID="Equation.DSMT4" ShapeID="_x0000_i1044" DrawAspect="Content" ObjectID="_1738778533" r:id="rId43"/>
        </w:object>
      </w:r>
      <w:r w:rsidRPr="00BB321B">
        <w:t xml:space="preserve">. Усі інші </w:t>
      </w:r>
      <w:r w:rsidRPr="00BB321B">
        <w:rPr>
          <w:position w:val="-16"/>
        </w:rPr>
        <w:object w:dxaOrig="720" w:dyaOrig="420">
          <v:shape id="_x0000_i1045" type="#_x0000_t75" style="width:36pt;height:21pt" o:ole="">
            <v:imagedata r:id="rId44" o:title=""/>
          </v:shape>
          <o:OLEObject Type="Embed" ProgID="Equation.DSMT4" ShapeID="_x0000_i1045" DrawAspect="Content" ObjectID="_1738778534" r:id="rId45"/>
        </w:object>
      </w:r>
      <w:r w:rsidRPr="00BB321B">
        <w:t xml:space="preserve"> як для включення, так і для середовища.</w:t>
      </w:r>
    </w:p>
    <w:p w:rsidR="00E102D0" w:rsidRPr="00BB321B" w:rsidRDefault="00E102D0" w:rsidP="00BB321B">
      <w:pPr>
        <w:ind w:firstLine="720"/>
        <w:jc w:val="both"/>
        <w:rPr>
          <w:b/>
        </w:rPr>
      </w:pPr>
      <w:r w:rsidRPr="00BB321B">
        <w:t xml:space="preserve">Локальний характер напружено-деформівного стану на поверхні трансверсально-ізотропного середовища </w:t>
      </w:r>
      <w:r w:rsidRPr="00BB321B">
        <w:rPr>
          <w:lang w:val="en-US"/>
        </w:rPr>
        <w:t xml:space="preserve">з </w:t>
      </w:r>
      <w:r w:rsidRPr="00BB321B">
        <w:t>включенням у вигляді сфероїда зображено на рисунку.</w:t>
      </w:r>
    </w:p>
    <w:p w:rsidR="00E102D0" w:rsidRPr="00BB321B" w:rsidRDefault="00E102D0" w:rsidP="00BB321B">
      <w:pPr>
        <w:jc w:val="center"/>
        <w:rPr>
          <w:lang w:val="en-US"/>
        </w:rPr>
      </w:pPr>
      <w:r w:rsidRPr="00BB321B">
        <w:rPr>
          <w:lang w:val="en-US"/>
        </w:rPr>
        <w:object w:dxaOrig="9662" w:dyaOrig="7182">
          <v:shape id="_x0000_i1046" type="#_x0000_t75" style="width:362.25pt;height:269.25pt" o:ole="">
            <v:imagedata r:id="rId46" o:title=""/>
          </v:shape>
          <o:OLEObject Type="Embed" ProgID="Visio.Drawing.11" ShapeID="_x0000_i1046" DrawAspect="Content" ObjectID="_1738778535" r:id="rId47"/>
        </w:object>
      </w:r>
    </w:p>
    <w:p w:rsidR="00E102D0" w:rsidRPr="00BB321B" w:rsidRDefault="00E102D0" w:rsidP="00BB321B">
      <w:pPr>
        <w:ind w:firstLine="720"/>
        <w:jc w:val="both"/>
      </w:pPr>
      <w:r w:rsidRPr="00BB321B">
        <w:rPr>
          <w:b/>
        </w:rPr>
        <w:t>Висновки.</w:t>
      </w:r>
      <w:r w:rsidRPr="00BB321B">
        <w:t xml:space="preserve"> На основі аналізу отриманих числових результатів виявлено такі механічні особливості, зумовлені порушенням умов спаю на границі розділу фаз:</w:t>
      </w:r>
    </w:p>
    <w:p w:rsidR="00E102D0" w:rsidRPr="00BB321B" w:rsidRDefault="00E102D0" w:rsidP="00BB321B">
      <w:pPr>
        <w:numPr>
          <w:ilvl w:val="0"/>
          <w:numId w:val="1"/>
        </w:numPr>
        <w:jc w:val="both"/>
      </w:pPr>
      <w:r w:rsidRPr="00BB321B">
        <w:t xml:space="preserve">наявність включення у формі стиснутого сфероїда в пружному трансверсально-ізотропному середовищі за неідеального механічного контакту у випадку повздовжнього розтягу вздовж осі ОZ залежно від відношення осей сфероїда </w:t>
      </w:r>
      <w:proofErr w:type="spellStart"/>
      <w:r w:rsidRPr="00BB321B">
        <w:rPr>
          <w:lang w:val="en-US"/>
        </w:rPr>
        <w:t>не</w:t>
      </w:r>
      <w:proofErr w:type="spellEnd"/>
      <w:r w:rsidRPr="00BB321B">
        <w:rPr>
          <w:lang w:val="en-US"/>
        </w:rPr>
        <w:t xml:space="preserve"> </w:t>
      </w:r>
      <w:r w:rsidRPr="00BB321B">
        <w:t>суттєво впливає на концентрацію напружень прямуючи до номінальних значень (суцільні криві);</w:t>
      </w:r>
    </w:p>
    <w:p w:rsidR="00E102D0" w:rsidRPr="00BB321B" w:rsidRDefault="00E102D0" w:rsidP="00BB321B">
      <w:pPr>
        <w:numPr>
          <w:ilvl w:val="0"/>
          <w:numId w:val="1"/>
        </w:numPr>
        <w:jc w:val="both"/>
      </w:pPr>
      <w:r w:rsidRPr="00BB321B">
        <w:t>концентрація нормальних і кругових напружень має стискаючий характер, прямуючи до номінальних значень із збільшенням співвідношення осей сфероїда (штрихові лінії).</w:t>
      </w:r>
    </w:p>
    <w:p w:rsidR="00E102D0" w:rsidRPr="00BB321B" w:rsidRDefault="00E102D0" w:rsidP="00BB321B">
      <w:pPr>
        <w:ind w:left="1080"/>
        <w:jc w:val="center"/>
        <w:rPr>
          <w:b/>
        </w:rPr>
      </w:pPr>
      <w:r w:rsidRPr="00BB321B">
        <w:rPr>
          <w:b/>
        </w:rPr>
        <w:t>Бібліографічний список</w:t>
      </w:r>
    </w:p>
    <w:p w:rsidR="00E102D0" w:rsidRPr="00BB321B" w:rsidRDefault="00E102D0" w:rsidP="00BB321B">
      <w:pPr>
        <w:ind w:firstLine="709"/>
        <w:jc w:val="both"/>
      </w:pPr>
      <w:r w:rsidRPr="00BB321B">
        <w:t xml:space="preserve">1. Подильчук Ю. Н. Граничные задачи статики упругих  тел. − </w:t>
      </w:r>
    </w:p>
    <w:p w:rsidR="00E102D0" w:rsidRPr="00BB321B" w:rsidRDefault="00E102D0" w:rsidP="00BB321B">
      <w:pPr>
        <w:jc w:val="both"/>
      </w:pPr>
      <w:r w:rsidRPr="00BB321B">
        <w:t xml:space="preserve"> </w:t>
      </w:r>
      <w:r w:rsidRPr="00BB321B">
        <w:rPr>
          <w:i/>
        </w:rPr>
        <w:t>Пространственные задачи теории упругости и пластичности</w:t>
      </w:r>
      <w:r w:rsidRPr="00BB321B">
        <w:t xml:space="preserve"> : в 5 т. Київ: Наук. думка, 1984. Т.1. 303 с.</w:t>
      </w:r>
    </w:p>
    <w:p w:rsidR="00E102D0" w:rsidRPr="00BB321B" w:rsidRDefault="00E102D0" w:rsidP="00BB321B">
      <w:pPr>
        <w:ind w:right="-11" w:firstLine="720"/>
        <w:jc w:val="both"/>
      </w:pPr>
      <w:r w:rsidRPr="00BB321B">
        <w:t xml:space="preserve">2. Соколовський Я. </w:t>
      </w:r>
      <w:r w:rsidRPr="00BB321B">
        <w:rPr>
          <w:lang w:val="ru-RU"/>
        </w:rPr>
        <w:t>И</w:t>
      </w:r>
      <w:r w:rsidRPr="00BB321B">
        <w:t>. Напряженное состояние трансверсально-изотропной среды со сфероидальным включением при неидеальном механическом контакте.</w:t>
      </w:r>
      <w:r w:rsidRPr="00BB321B">
        <w:rPr>
          <w:lang w:val="en-US"/>
        </w:rPr>
        <w:t>/</w:t>
      </w:r>
      <w:r w:rsidRPr="00BB321B">
        <w:t xml:space="preserve"> </w:t>
      </w:r>
      <w:r w:rsidRPr="00BB321B">
        <w:rPr>
          <w:lang w:val="ru-RU"/>
        </w:rPr>
        <w:t xml:space="preserve">Я. И. </w:t>
      </w:r>
      <w:r w:rsidRPr="00BB321B">
        <w:t xml:space="preserve">Соколовський, </w:t>
      </w:r>
      <w:r w:rsidRPr="00BB321B">
        <w:rPr>
          <w:lang w:val="ru-RU"/>
        </w:rPr>
        <w:t xml:space="preserve">Т. И. </w:t>
      </w:r>
      <w:r w:rsidRPr="00BB321B">
        <w:t xml:space="preserve">Бубняк </w:t>
      </w:r>
      <w:r w:rsidRPr="00BB321B">
        <w:rPr>
          <w:lang w:val="en-US"/>
        </w:rPr>
        <w:t>/</w:t>
      </w:r>
      <w:r w:rsidRPr="00BB321B">
        <w:t xml:space="preserve"> </w:t>
      </w:r>
      <w:r w:rsidRPr="00BB321B">
        <w:rPr>
          <w:i/>
        </w:rPr>
        <w:t>Теоретическая и прикладная механика.</w:t>
      </w:r>
      <w:r w:rsidRPr="00BB321B">
        <w:t xml:space="preserve">  1995. Вып. 25. С. 17-26.</w:t>
      </w:r>
    </w:p>
    <w:p w:rsidR="00E102D0" w:rsidRPr="00BB321B" w:rsidRDefault="00E102D0" w:rsidP="00BB321B">
      <w:pPr>
        <w:ind w:right="-11" w:firstLine="720"/>
        <w:jc w:val="both"/>
      </w:pPr>
      <w:r w:rsidRPr="00BB321B">
        <w:t>3. Соколовський Я. І. Просторова задача трансверсально-ізотропного середовища із сфероїдальним включенням при неідеальному механічному контакті.</w:t>
      </w:r>
      <w:r w:rsidRPr="00BB321B">
        <w:rPr>
          <w:lang w:val="en-US"/>
        </w:rPr>
        <w:t>/</w:t>
      </w:r>
      <w:r w:rsidRPr="00BB321B">
        <w:t xml:space="preserve"> Я. І.</w:t>
      </w:r>
      <w:r w:rsidRPr="00BB321B">
        <w:rPr>
          <w:lang w:val="ru-RU"/>
        </w:rPr>
        <w:t xml:space="preserve"> </w:t>
      </w:r>
      <w:r w:rsidRPr="00BB321B">
        <w:t xml:space="preserve">Соколовський Я. І., </w:t>
      </w:r>
      <w:r w:rsidRPr="00BB321B">
        <w:rPr>
          <w:lang w:val="ru-RU"/>
        </w:rPr>
        <w:t xml:space="preserve">Т.І. </w:t>
      </w:r>
      <w:r w:rsidRPr="00BB321B">
        <w:t xml:space="preserve">Бубняк / </w:t>
      </w:r>
      <w:r w:rsidRPr="00BB321B">
        <w:rPr>
          <w:i/>
        </w:rPr>
        <w:t>Доп. НАН України</w:t>
      </w:r>
      <w:r w:rsidRPr="00BB321B">
        <w:t>. 1996. № 9. С. 45-50.</w:t>
      </w:r>
    </w:p>
    <w:p w:rsidR="00E102D0" w:rsidRPr="00BB321B" w:rsidRDefault="00E102D0" w:rsidP="00BB321B">
      <w:pPr>
        <w:ind w:right="-11" w:firstLine="720"/>
        <w:jc w:val="both"/>
        <w:rPr>
          <w:lang w:val="en-US"/>
        </w:rPr>
      </w:pPr>
      <w:r w:rsidRPr="00BB321B">
        <w:t xml:space="preserve">4. Бубняк Т. І. Концентрація нормальних напружень у включенні за дії лінійного температурного поля. </w:t>
      </w:r>
      <w:r w:rsidRPr="00BB321B">
        <w:rPr>
          <w:i/>
        </w:rPr>
        <w:t>Вісник Львівського національного аграрного університету: архітектура і сільськогосподарське будівництво</w:t>
      </w:r>
      <w:r w:rsidRPr="00BB321B">
        <w:t>. 2018. № 19. С. 46-48.</w:t>
      </w:r>
    </w:p>
    <w:p w:rsidR="00E102D0" w:rsidRPr="00BB321B" w:rsidRDefault="00E102D0" w:rsidP="00BB321B">
      <w:pPr>
        <w:ind w:right="-11" w:firstLine="720"/>
        <w:jc w:val="both"/>
        <w:rPr>
          <w:lang w:val="en-US"/>
        </w:rPr>
      </w:pPr>
      <w:r w:rsidRPr="00BB321B">
        <w:rPr>
          <w:lang w:val="en-US"/>
        </w:rPr>
        <w:t xml:space="preserve">5. </w:t>
      </w:r>
      <w:r w:rsidRPr="00BB321B">
        <w:t xml:space="preserve">Бубняк Т.І. Розподіл напружень на поверхні порожнини у трансверсально-ізотропному середовищі. </w:t>
      </w:r>
      <w:r w:rsidRPr="00BB321B">
        <w:rPr>
          <w:i/>
        </w:rPr>
        <w:t>Вісник Львівського національного аграрного університету: архітектура і сільськогосподарське будівництво</w:t>
      </w:r>
      <w:r w:rsidRPr="00BB321B">
        <w:t>.  2020. № 21. С. 5-9.</w:t>
      </w:r>
    </w:p>
    <w:sectPr w:rsidR="00E102D0" w:rsidRPr="00BB321B" w:rsidSect="00442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3DB4"/>
    <w:multiLevelType w:val="hybridMultilevel"/>
    <w:tmpl w:val="A8C07AC6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02D0"/>
    <w:rsid w:val="00010763"/>
    <w:rsid w:val="0002033E"/>
    <w:rsid w:val="000652F8"/>
    <w:rsid w:val="000B761E"/>
    <w:rsid w:val="000D48BE"/>
    <w:rsid w:val="0021762C"/>
    <w:rsid w:val="002A7B01"/>
    <w:rsid w:val="003318F5"/>
    <w:rsid w:val="003D40A9"/>
    <w:rsid w:val="00415962"/>
    <w:rsid w:val="00426A4A"/>
    <w:rsid w:val="00442610"/>
    <w:rsid w:val="00535EFF"/>
    <w:rsid w:val="006D1F64"/>
    <w:rsid w:val="00705698"/>
    <w:rsid w:val="00797DB4"/>
    <w:rsid w:val="007F1E91"/>
    <w:rsid w:val="00831ACC"/>
    <w:rsid w:val="008A5258"/>
    <w:rsid w:val="008F579C"/>
    <w:rsid w:val="0090501F"/>
    <w:rsid w:val="00956560"/>
    <w:rsid w:val="009A7184"/>
    <w:rsid w:val="009D5C37"/>
    <w:rsid w:val="00A2503F"/>
    <w:rsid w:val="00A33BA0"/>
    <w:rsid w:val="00AA0B5A"/>
    <w:rsid w:val="00B73482"/>
    <w:rsid w:val="00BB321B"/>
    <w:rsid w:val="00BE5538"/>
    <w:rsid w:val="00DD3A09"/>
    <w:rsid w:val="00E102D0"/>
    <w:rsid w:val="00E50E2C"/>
    <w:rsid w:val="00E9326E"/>
    <w:rsid w:val="00F1224C"/>
    <w:rsid w:val="00FE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1">
    <w:name w:val="heading 1"/>
    <w:basedOn w:val="Normal"/>
    <w:next w:val="Normal"/>
    <w:link w:val="Heading1Char"/>
    <w:qFormat/>
    <w:rsid w:val="00E102D0"/>
    <w:pPr>
      <w:keepNext/>
      <w:ind w:firstLine="720"/>
      <w:jc w:val="both"/>
      <w:outlineLvl w:val="0"/>
    </w:pPr>
    <w:rPr>
      <w:b/>
      <w:bCs/>
      <w:sz w:val="2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02D0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paragraph" w:styleId="HTMLPreformatted">
    <w:name w:val="HTML Preformatted"/>
    <w:basedOn w:val="Normal"/>
    <w:link w:val="HTMLPreformattedChar1"/>
    <w:unhideWhenUsed/>
    <w:rsid w:val="00E10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02D0"/>
    <w:rPr>
      <w:rFonts w:ascii="Consolas" w:eastAsia="Times New Roman" w:hAnsi="Consolas" w:cs="Times New Roman"/>
      <w:sz w:val="20"/>
      <w:szCs w:val="20"/>
      <w:lang w:val="uk-UA" w:eastAsia="uk-UA"/>
    </w:rPr>
  </w:style>
  <w:style w:type="paragraph" w:styleId="BodyTextIndent2">
    <w:name w:val="Body Text Indent 2"/>
    <w:basedOn w:val="Normal"/>
    <w:link w:val="BodyTextIndent2Char"/>
    <w:unhideWhenUsed/>
    <w:rsid w:val="00E102D0"/>
    <w:pPr>
      <w:ind w:firstLine="720"/>
      <w:jc w:val="both"/>
    </w:pPr>
    <w:rPr>
      <w:caps/>
      <w:sz w:val="2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E102D0"/>
    <w:rPr>
      <w:rFonts w:ascii="Times New Roman" w:eastAsia="Times New Roman" w:hAnsi="Times New Roman" w:cs="Times New Roman"/>
      <w:caps/>
      <w:szCs w:val="24"/>
      <w:lang w:val="uk-UA" w:eastAsia="ru-RU"/>
    </w:rPr>
  </w:style>
  <w:style w:type="character" w:customStyle="1" w:styleId="HTMLPreformattedChar1">
    <w:name w:val="HTML Preformatted Char1"/>
    <w:basedOn w:val="DefaultParagraphFont"/>
    <w:link w:val="HTMLPreformatted"/>
    <w:locked/>
    <w:rsid w:val="00E102D0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DefaultParagraphFont"/>
    <w:rsid w:val="00E10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4222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26</cp:revision>
  <dcterms:created xsi:type="dcterms:W3CDTF">2022-04-13T05:01:00Z</dcterms:created>
  <dcterms:modified xsi:type="dcterms:W3CDTF">2023-02-24T19:15:00Z</dcterms:modified>
</cp:coreProperties>
</file>